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49" w:rsidRPr="00F14106" w:rsidRDefault="00ED3A49" w:rsidP="00ED3A49">
      <w:pPr>
        <w:shd w:val="clear" w:color="auto" w:fill="FFFFFF"/>
        <w:spacing w:after="360" w:line="240" w:lineRule="auto"/>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Основания введения полного и (или) частичного ограничения режима потребления электрической энергии юридическим лицам и гражданам потребителям установлены в Правилах полного и (или) частичного ограничения режима потребления электрической энергии, утвержденных </w:t>
      </w:r>
      <w:hyperlink r:id="rId5" w:history="1">
        <w:r w:rsidRPr="00F14106">
          <w:rPr>
            <w:rFonts w:ascii="Arial" w:eastAsia="Times New Roman" w:hAnsi="Arial" w:cs="Arial"/>
            <w:color w:val="1389D3"/>
            <w:spacing w:val="2"/>
            <w:sz w:val="24"/>
            <w:szCs w:val="24"/>
            <w:u w:val="single"/>
            <w:lang w:eastAsia="ru-RU"/>
          </w:rPr>
          <w:t>Постановлением Правительства Российской Федерации от 4 мая 2012 г. № 442.</w:t>
        </w:r>
      </w:hyperlink>
    </w:p>
    <w:p w:rsidR="00ED3A49" w:rsidRPr="00F14106" w:rsidRDefault="00ED3A49" w:rsidP="00ED3A49">
      <w:pPr>
        <w:shd w:val="clear" w:color="auto" w:fill="FFFFFF"/>
        <w:spacing w:before="360" w:after="360" w:line="240" w:lineRule="auto"/>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Ограничение режима потребления электрической энергии по инициативе гарантирующего поставщика вводится при наступлении любого из следующих обстоятельств:</w:t>
      </w:r>
    </w:p>
    <w:p w:rsidR="00ED3A49" w:rsidRPr="00F14106" w:rsidRDefault="00ED3A49" w:rsidP="00ED3A49">
      <w:pPr>
        <w:numPr>
          <w:ilvl w:val="0"/>
          <w:numId w:val="1"/>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Нарушение потребителем своих обязательств, выразившееся в следующих действиях:</w:t>
      </w:r>
    </w:p>
    <w:p w:rsidR="00ED3A49" w:rsidRPr="00F14106" w:rsidRDefault="00ED3A49" w:rsidP="00ED3A49">
      <w:pPr>
        <w:numPr>
          <w:ilvl w:val="1"/>
          <w:numId w:val="1"/>
        </w:numPr>
        <w:shd w:val="clear" w:color="auto" w:fill="FFFFFF"/>
        <w:spacing w:before="150" w:after="150" w:line="330" w:lineRule="atLeast"/>
        <w:ind w:left="150" w:right="15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ED3A49" w:rsidRPr="00F14106" w:rsidRDefault="00ED3A49" w:rsidP="00ED3A49">
      <w:pPr>
        <w:numPr>
          <w:ilvl w:val="1"/>
          <w:numId w:val="1"/>
        </w:numPr>
        <w:shd w:val="clear" w:color="auto" w:fill="FFFFFF"/>
        <w:spacing w:before="150" w:after="150" w:line="330" w:lineRule="atLeast"/>
        <w:ind w:left="150" w:right="15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ED3A49" w:rsidRPr="00F14106" w:rsidRDefault="00ED3A49" w:rsidP="00ED3A49">
      <w:pPr>
        <w:numPr>
          <w:ilvl w:val="1"/>
          <w:numId w:val="1"/>
        </w:numPr>
        <w:shd w:val="clear" w:color="auto" w:fill="FFFFFF"/>
        <w:spacing w:before="150" w:after="150" w:line="330" w:lineRule="atLeast"/>
        <w:ind w:left="150" w:right="15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ED3A49" w:rsidRPr="00F14106" w:rsidRDefault="00ED3A49" w:rsidP="00ED3A49">
      <w:pPr>
        <w:numPr>
          <w:ilvl w:val="0"/>
          <w:numId w:val="1"/>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Выявление факта бездоговорного потребления электрической энергии.</w:t>
      </w:r>
    </w:p>
    <w:p w:rsidR="00ED3A49" w:rsidRPr="00F14106" w:rsidRDefault="00ED3A49" w:rsidP="00ED3A49">
      <w:pPr>
        <w:numPr>
          <w:ilvl w:val="0"/>
          <w:numId w:val="1"/>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 xml:space="preserve">Выявление ненадлежащего технологического присоединения </w:t>
      </w:r>
      <w:proofErr w:type="spellStart"/>
      <w:r w:rsidRPr="00F14106">
        <w:rPr>
          <w:rFonts w:ascii="Arial" w:eastAsia="Times New Roman" w:hAnsi="Arial" w:cs="Arial"/>
          <w:color w:val="444850"/>
          <w:spacing w:val="2"/>
          <w:sz w:val="24"/>
          <w:szCs w:val="24"/>
          <w:lang w:eastAsia="ru-RU"/>
        </w:rPr>
        <w:t>энергопринимающих</w:t>
      </w:r>
      <w:proofErr w:type="spellEnd"/>
      <w:r w:rsidRPr="00F14106">
        <w:rPr>
          <w:rFonts w:ascii="Arial" w:eastAsia="Times New Roman" w:hAnsi="Arial" w:cs="Arial"/>
          <w:color w:val="444850"/>
          <w:spacing w:val="2"/>
          <w:sz w:val="24"/>
          <w:szCs w:val="24"/>
          <w:lang w:eastAsia="ru-RU"/>
        </w:rPr>
        <w:t xml:space="preserve"> устройств потребителя, которое установлено гарантирующим поставщиком, заключившим с этим потребителем договор энергоснабжения (купли-продажи (поставки) электрической энергии (мощности)) </w:t>
      </w:r>
      <w:r w:rsidRPr="00F14106">
        <w:rPr>
          <w:rFonts w:ascii="Arial" w:eastAsia="Times New Roman" w:hAnsi="Arial" w:cs="Arial"/>
          <w:color w:val="444850"/>
          <w:spacing w:val="2"/>
          <w:sz w:val="24"/>
          <w:szCs w:val="24"/>
          <w:lang w:eastAsia="ru-RU"/>
        </w:rPr>
        <w:lastRenderedPageBreak/>
        <w:t>при отсутствии документов, подтверждающих технологическое присоединение и (или) разграничение балансовой принадлежности.</w:t>
      </w:r>
    </w:p>
    <w:p w:rsidR="00ED3A49" w:rsidRPr="00F14106" w:rsidRDefault="00ED3A49" w:rsidP="00ED3A49">
      <w:pPr>
        <w:shd w:val="clear" w:color="auto" w:fill="FFFFFF"/>
        <w:spacing w:before="360" w:after="360" w:line="240" w:lineRule="auto"/>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Основания ограничения или приостановления предоставления коммунальной услуги (электроснабжение) потребителям коммунальной услуги установлены в Правилах предоставления коммунальных услуг собственникам и пользователям помещений в многоквартирных домах и жилых домов, утвержденных </w:t>
      </w:r>
      <w:hyperlink r:id="rId6" w:history="1">
        <w:r w:rsidRPr="00F14106">
          <w:rPr>
            <w:rFonts w:ascii="Arial" w:eastAsia="Times New Roman" w:hAnsi="Arial" w:cs="Arial"/>
            <w:color w:val="1389D3"/>
            <w:spacing w:val="2"/>
            <w:sz w:val="24"/>
            <w:szCs w:val="24"/>
            <w:u w:val="single"/>
            <w:lang w:eastAsia="ru-RU"/>
          </w:rPr>
          <w:t>Постановлением Правительства Российской Федерации от 6 мая 2011 г. № 354.</w:t>
        </w:r>
      </w:hyperlink>
    </w:p>
    <w:p w:rsidR="00ED3A49" w:rsidRPr="00F14106" w:rsidRDefault="00ED3A49" w:rsidP="00ED3A49">
      <w:pPr>
        <w:shd w:val="clear" w:color="auto" w:fill="FFFFFF"/>
        <w:spacing w:before="360" w:after="360" w:line="240" w:lineRule="auto"/>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Ограничение или приостановление предоставления коммунальной услуги, вводится с предварительным уведомлением об этом потребителя, в случае:</w:t>
      </w:r>
    </w:p>
    <w:p w:rsidR="00ED3A49" w:rsidRPr="00F14106" w:rsidRDefault="00ED3A49" w:rsidP="00ED3A49">
      <w:pPr>
        <w:numPr>
          <w:ilvl w:val="0"/>
          <w:numId w:val="2"/>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неполной оплаты потребителем коммунальной услуги. Под неполной оплатой потребителем коммунальной услуги понимается наличие у потребителя задолженности по оплате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соглашения о погашении задолженности и (или) при невыполнении потребителем-должником условий такого соглашения;</w:t>
      </w:r>
    </w:p>
    <w:p w:rsidR="00ED3A49" w:rsidRPr="00F14106" w:rsidRDefault="00ED3A49" w:rsidP="00ED3A49">
      <w:pPr>
        <w:numPr>
          <w:ilvl w:val="0"/>
          <w:numId w:val="2"/>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ED3A49" w:rsidRPr="00F14106" w:rsidRDefault="00ED3A49" w:rsidP="00ED3A49">
      <w:pPr>
        <w:shd w:val="clear" w:color="auto" w:fill="FFFFFF"/>
        <w:spacing w:before="360" w:after="360" w:line="240" w:lineRule="auto"/>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Ограничение или приостановление предоставление коммунальных услуг без предварительного уведомления потребителя вводится в случае:</w:t>
      </w:r>
    </w:p>
    <w:p w:rsidR="00ED3A49" w:rsidRPr="00F14106" w:rsidRDefault="00ED3A49" w:rsidP="00ED3A49">
      <w:pPr>
        <w:numPr>
          <w:ilvl w:val="0"/>
          <w:numId w:val="3"/>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возникновения или угрозы возникновения аварийной ситуации в централизованных сетях инженерно-технического обеспечения - с момента возникновения или угрозы возникновения такой аварийной ситуации;</w:t>
      </w:r>
    </w:p>
    <w:p w:rsidR="00ED3A49" w:rsidRPr="00F14106" w:rsidRDefault="00ED3A49" w:rsidP="00ED3A49">
      <w:pPr>
        <w:numPr>
          <w:ilvl w:val="0"/>
          <w:numId w:val="3"/>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D3A49" w:rsidRPr="00F14106" w:rsidRDefault="00ED3A49" w:rsidP="00ED3A49">
      <w:pPr>
        <w:numPr>
          <w:ilvl w:val="0"/>
          <w:numId w:val="3"/>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D3A49" w:rsidRPr="00F14106" w:rsidRDefault="00ED3A49" w:rsidP="00ED3A49">
      <w:pPr>
        <w:numPr>
          <w:ilvl w:val="0"/>
          <w:numId w:val="3"/>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lastRenderedPageBreak/>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D3A49" w:rsidRPr="00F14106" w:rsidRDefault="00ED3A49" w:rsidP="00ED3A49">
      <w:pPr>
        <w:numPr>
          <w:ilvl w:val="0"/>
          <w:numId w:val="3"/>
        </w:numPr>
        <w:shd w:val="clear" w:color="auto" w:fill="FFFFFF"/>
        <w:spacing w:before="240" w:after="240" w:line="330" w:lineRule="atLeast"/>
        <w:ind w:left="0"/>
        <w:rPr>
          <w:rFonts w:ascii="Arial" w:eastAsia="Times New Roman" w:hAnsi="Arial" w:cs="Arial"/>
          <w:color w:val="444850"/>
          <w:spacing w:val="2"/>
          <w:sz w:val="24"/>
          <w:szCs w:val="24"/>
          <w:lang w:eastAsia="ru-RU"/>
        </w:rPr>
      </w:pPr>
      <w:r w:rsidRPr="00F14106">
        <w:rPr>
          <w:rFonts w:ascii="Arial" w:eastAsia="Times New Roman" w:hAnsi="Arial" w:cs="Arial"/>
          <w:color w:val="444850"/>
          <w:spacing w:val="2"/>
          <w:sz w:val="24"/>
          <w:szCs w:val="24"/>
          <w:lang w:eastAsia="ru-RU"/>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E22E3" w:rsidRDefault="007E22E3">
      <w:bookmarkStart w:id="0" w:name="_GoBack"/>
      <w:bookmarkEnd w:id="0"/>
    </w:p>
    <w:sectPr w:rsidR="007E2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B39D6"/>
    <w:multiLevelType w:val="multilevel"/>
    <w:tmpl w:val="3174B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C139C"/>
    <w:multiLevelType w:val="multilevel"/>
    <w:tmpl w:val="F23C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7593D"/>
    <w:multiLevelType w:val="multilevel"/>
    <w:tmpl w:val="7382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49"/>
    <w:rsid w:val="007E22E3"/>
    <w:rsid w:val="00ED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5EB73-6203-4ED8-88FC-BB7A4A0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A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14247/" TargetMode="External"/><Relationship Id="rId5" Type="http://schemas.openxmlformats.org/officeDocument/2006/relationships/hyperlink" Target="http://www.consultant.ru/document/cons_doc_LAW_13049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Алексей Геннадьевич</dc:creator>
  <cp:keywords/>
  <dc:description/>
  <cp:lastModifiedBy>Максимов Алексей Геннадьевич</cp:lastModifiedBy>
  <cp:revision>1</cp:revision>
  <dcterms:created xsi:type="dcterms:W3CDTF">2023-04-06T06:10:00Z</dcterms:created>
  <dcterms:modified xsi:type="dcterms:W3CDTF">2023-04-06T06:10:00Z</dcterms:modified>
</cp:coreProperties>
</file>